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8186"/>
      </w:tblGrid>
      <w:tr w:rsidR="00221AC4" w:rsidRPr="00221AC4" w:rsidTr="00221AC4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221AC4">
            <w:pPr>
              <w:pStyle w:val="Paragrafoelenco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  <w:r w:rsidRPr="00221AC4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221AC4" w:rsidRPr="00221AC4" w:rsidRDefault="00221AC4" w:rsidP="00221AC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21AC4">
              <w:rPr>
                <w:rFonts w:ascii="Calibri" w:hAnsi="Calibri"/>
                <w:b/>
                <w:bCs/>
              </w:rPr>
              <w:t>SUA p/c del Comune di Loreto</w:t>
            </w:r>
          </w:p>
          <w:p w:rsidR="00221AC4" w:rsidRPr="00221AC4" w:rsidRDefault="00221AC4" w:rsidP="00221AC4">
            <w:pPr>
              <w:spacing w:after="0" w:line="240" w:lineRule="auto"/>
              <w:jc w:val="center"/>
              <w:rPr>
                <w:color w:val="000000"/>
              </w:rPr>
            </w:pPr>
            <w:r w:rsidRPr="00221AC4">
              <w:rPr>
                <w:rFonts w:ascii="Calibri" w:hAnsi="Calibri"/>
                <w:b/>
                <w:bCs/>
              </w:rPr>
              <w:t xml:space="preserve">GARA EUROPEA A PROCEDURA APERTA </w:t>
            </w:r>
            <w:r w:rsidRPr="00221AC4">
              <w:rPr>
                <w:rFonts w:ascii="Calibri" w:hAnsi="Calibri"/>
                <w:bCs/>
              </w:rPr>
              <w:t>per l’affidamento dei</w:t>
            </w:r>
            <w:r w:rsidRPr="00221AC4">
              <w:rPr>
                <w:color w:val="000000"/>
              </w:rPr>
              <w:t xml:space="preserve"> </w:t>
            </w:r>
          </w:p>
          <w:p w:rsidR="00221AC4" w:rsidRPr="00221AC4" w:rsidRDefault="00221AC4" w:rsidP="00221AC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221AC4">
              <w:rPr>
                <w:rFonts w:ascii="Calibri" w:hAnsi="Calibri"/>
                <w:color w:val="FF0000"/>
              </w:rPr>
              <w:t>“</w:t>
            </w:r>
            <w:r w:rsidRPr="00221AC4">
              <w:rPr>
                <w:rFonts w:ascii="Calibri" w:hAnsi="Calibri"/>
                <w:b/>
                <w:color w:val="FF0000"/>
              </w:rPr>
              <w:t>Servizi assicurativi a favore del Comune di Loreto periodo 30/6/2016-31/12/2019</w:t>
            </w:r>
            <w:r w:rsidRPr="00221AC4">
              <w:rPr>
                <w:rFonts w:ascii="Calibri" w:hAnsi="Calibri"/>
                <w:color w:val="FF0000"/>
              </w:rPr>
              <w:t>”</w:t>
            </w:r>
            <w:r w:rsidRPr="00221AC4">
              <w:rPr>
                <w:rFonts w:ascii="Calibri" w:hAnsi="Calibri"/>
                <w:b/>
                <w:color w:val="000000"/>
              </w:rPr>
              <w:t>,</w:t>
            </w:r>
          </w:p>
          <w:p w:rsidR="00221AC4" w:rsidRPr="00221AC4" w:rsidRDefault="00221AC4" w:rsidP="00221AC4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21AC4">
              <w:rPr>
                <w:rFonts w:ascii="Calibri" w:hAnsi="Calibri"/>
                <w:color w:val="000000"/>
              </w:rPr>
              <w:t>suddivisa nei seguenti tre lotti</w:t>
            </w:r>
            <w:r w:rsidRPr="00221AC4">
              <w:rPr>
                <w:rFonts w:ascii="Calibri" w:hAnsi="Calibri"/>
                <w:bCs/>
              </w:rPr>
              <w:t>:</w:t>
            </w:r>
          </w:p>
          <w:tbl>
            <w:tblPr>
              <w:tblW w:w="4796" w:type="pct"/>
              <w:jc w:val="center"/>
              <w:tblLook w:val="0000"/>
            </w:tblPr>
            <w:tblGrid>
              <w:gridCol w:w="952"/>
              <w:gridCol w:w="1281"/>
              <w:gridCol w:w="1322"/>
              <w:gridCol w:w="1458"/>
              <w:gridCol w:w="1527"/>
              <w:gridCol w:w="1420"/>
            </w:tblGrid>
            <w:tr w:rsidR="00221AC4" w:rsidRPr="00221AC4" w:rsidTr="00AC1A5E">
              <w:trPr>
                <w:jc w:val="center"/>
              </w:trPr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4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Lotto</w:t>
                  </w: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" w:right="49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Descrizione Polizza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6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Importo lordo annuo (€.)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 xml:space="preserve">Importo lordo periodo </w:t>
                  </w:r>
                </w:p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 xml:space="preserve">30/6/2017/ 31/12/2019 (€.) </w:t>
                  </w:r>
                </w:p>
              </w:tc>
              <w:tc>
                <w:tcPr>
                  <w:tcW w:w="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Importo comprensivo di eventuale proroga</w:t>
                  </w:r>
                </w:p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semestrale (€.)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"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CIG</w:t>
                  </w:r>
                </w:p>
              </w:tc>
            </w:tr>
            <w:tr w:rsidR="00221AC4" w:rsidRPr="00221AC4" w:rsidTr="00AC1A5E">
              <w:trPr>
                <w:trHeight w:val="240"/>
                <w:jc w:val="center"/>
              </w:trPr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"/>
                    <w:jc w:val="both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RCT/RCO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6" w:right="49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85.000,00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" w:right="49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212.500,00</w:t>
                  </w:r>
                </w:p>
              </w:tc>
              <w:tc>
                <w:tcPr>
                  <w:tcW w:w="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255.000,00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Style w:val="Enfasigrassetto"/>
                      <w:rFonts w:ascii="Calibri" w:hAnsi="Calibri"/>
                      <w:b w:val="0"/>
                      <w:bCs w:val="0"/>
                    </w:rPr>
                    <w:t>69885448F1</w:t>
                  </w:r>
                </w:p>
              </w:tc>
            </w:tr>
            <w:tr w:rsidR="00221AC4" w:rsidRPr="00221AC4" w:rsidTr="00AC1A5E">
              <w:trPr>
                <w:trHeight w:val="240"/>
                <w:jc w:val="center"/>
              </w:trPr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"/>
                    <w:jc w:val="both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Incendio ed altri eventi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6" w:right="49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10.000,00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" w:right="49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25.000,00</w:t>
                  </w:r>
                </w:p>
              </w:tc>
              <w:tc>
                <w:tcPr>
                  <w:tcW w:w="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30.000,00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Style w:val="Enfasigrassetto"/>
                      <w:rFonts w:ascii="Calibri" w:hAnsi="Calibri"/>
                      <w:b w:val="0"/>
                    </w:rPr>
                    <w:t>69885573AD</w:t>
                  </w:r>
                </w:p>
              </w:tc>
            </w:tr>
            <w:tr w:rsidR="00221AC4" w:rsidRPr="00221AC4" w:rsidTr="00AC1A5E">
              <w:trPr>
                <w:trHeight w:val="240"/>
                <w:jc w:val="center"/>
              </w:trPr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"/>
                    <w:jc w:val="both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RCA/ARD Libro matricola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6" w:right="49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40.000,00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" w:right="49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100.000,00</w:t>
                  </w:r>
                </w:p>
              </w:tc>
              <w:tc>
                <w:tcPr>
                  <w:tcW w:w="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jc w:val="center"/>
                    <w:rPr>
                      <w:rFonts w:ascii="Calibri" w:hAnsi="Calibri"/>
                    </w:rPr>
                  </w:pPr>
                  <w:r w:rsidRPr="00221AC4">
                    <w:rPr>
                      <w:rFonts w:ascii="Calibri" w:hAnsi="Calibri"/>
                    </w:rPr>
                    <w:t>120.000,00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Style w:val="Enfasigrassetto"/>
                      <w:rFonts w:ascii="Calibri" w:hAnsi="Calibri"/>
                      <w:b w:val="0"/>
                    </w:rPr>
                    <w:t>6988565A45</w:t>
                  </w:r>
                </w:p>
              </w:tc>
            </w:tr>
            <w:tr w:rsidR="00221AC4" w:rsidRPr="00221AC4" w:rsidTr="00AC1A5E">
              <w:trPr>
                <w:trHeight w:val="240"/>
                <w:jc w:val="center"/>
              </w:trPr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TOTALE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135.000,00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337.500,00</w:t>
                  </w:r>
                </w:p>
              </w:tc>
              <w:tc>
                <w:tcPr>
                  <w:tcW w:w="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  <w:r w:rsidRPr="00221AC4">
                    <w:rPr>
                      <w:rFonts w:ascii="Calibri" w:hAnsi="Calibri"/>
                      <w:b/>
                    </w:rPr>
                    <w:t>405.000,00</w:t>
                  </w:r>
                </w:p>
              </w:tc>
              <w:tc>
                <w:tcPr>
                  <w:tcW w:w="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AC4" w:rsidRPr="00221AC4" w:rsidRDefault="00221AC4" w:rsidP="00221A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221AC4" w:rsidRPr="00221AC4" w:rsidRDefault="00221AC4" w:rsidP="00221AC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221AC4" w:rsidRPr="00221AC4" w:rsidTr="00221AC4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221AC4">
            <w:pPr>
              <w:pStyle w:val="Paragrafoelenco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221AC4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  <w:r w:rsidRPr="00221AC4">
              <w:rPr>
                <w:rFonts w:ascii="Calibri" w:hAnsi="Calibri"/>
                <w:b/>
                <w:bCs/>
              </w:rPr>
              <w:t xml:space="preserve">Scadenza presentazione offerte: </w:t>
            </w:r>
            <w:r w:rsidRPr="00221AC4">
              <w:rPr>
                <w:rFonts w:ascii="Calibri" w:hAnsi="Calibri"/>
                <w:b/>
                <w:bCs/>
                <w:color w:val="FF0000"/>
              </w:rPr>
              <w:t>03 aprile 2017, ore 13.00</w:t>
            </w:r>
          </w:p>
        </w:tc>
      </w:tr>
    </w:tbl>
    <w:p w:rsidR="00221AC4" w:rsidRPr="00221AC4" w:rsidRDefault="00221AC4" w:rsidP="00221AC4">
      <w:pPr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 xml:space="preserve">PATTO </w:t>
      </w:r>
      <w:proofErr w:type="spellStart"/>
      <w:r w:rsidRPr="00221AC4">
        <w:rPr>
          <w:rFonts w:asciiTheme="majorBidi" w:hAnsiTheme="majorBidi" w:cstheme="majorBidi"/>
          <w:b/>
          <w:sz w:val="24"/>
          <w:szCs w:val="24"/>
        </w:rPr>
        <w:t>DI</w:t>
      </w:r>
      <w:proofErr w:type="spellEnd"/>
      <w:r w:rsidRPr="00221AC4">
        <w:rPr>
          <w:rFonts w:asciiTheme="majorBidi" w:hAnsiTheme="majorBidi" w:cstheme="majorBidi"/>
          <w:b/>
          <w:sz w:val="24"/>
          <w:szCs w:val="24"/>
        </w:rPr>
        <w:t xml:space="preserve"> INTEGRITÀ</w:t>
      </w:r>
    </w:p>
    <w:p w:rsidR="001836D0" w:rsidRPr="00170A13" w:rsidRDefault="001836D0" w:rsidP="0027623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DC08F8">
      <w:pPr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 xml:space="preserve">COMUNE </w:t>
      </w:r>
      <w:proofErr w:type="spellStart"/>
      <w:r w:rsidRPr="002A1D02">
        <w:rPr>
          <w:rFonts w:asciiTheme="majorBidi" w:hAnsiTheme="majorBidi" w:cstheme="majorBidi"/>
          <w:b/>
          <w:sz w:val="24"/>
          <w:szCs w:val="24"/>
        </w:rPr>
        <w:t>DI</w:t>
      </w:r>
      <w:proofErr w:type="spellEnd"/>
      <w:r w:rsidRPr="002A1D02">
        <w:rPr>
          <w:rFonts w:asciiTheme="majorBidi" w:hAnsiTheme="majorBidi" w:cstheme="majorBidi"/>
          <w:b/>
          <w:sz w:val="24"/>
          <w:szCs w:val="24"/>
        </w:rPr>
        <w:t xml:space="preserve"> LORETO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27623E">
      <w:pPr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291DB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291DB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291DB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291DB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170A13">
      <w:pPr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F61671">
      <w:pPr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F61671">
      <w:pPr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F616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>
        <w:rPr>
          <w:rFonts w:asciiTheme="majorBidi" w:hAnsiTheme="majorBidi" w:cstheme="majorBidi"/>
          <w:sz w:val="24"/>
          <w:szCs w:val="24"/>
        </w:rPr>
        <w:t>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</w:t>
      </w:r>
      <w:proofErr w:type="spellEnd"/>
      <w:r w:rsidR="00221AC4">
        <w:rPr>
          <w:rFonts w:asciiTheme="majorBidi" w:hAnsiTheme="majorBidi" w:cstheme="majorBidi"/>
          <w:sz w:val="24"/>
          <w:szCs w:val="24"/>
        </w:rPr>
        <w:t xml:space="preserve">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490EBE">
      <w:pPr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F61671">
      <w:pPr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27623E">
      <w:pPr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F61671">
      <w:pPr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2762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27623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</w:t>
      </w:r>
      <w:proofErr w:type="spellStart"/>
      <w:r w:rsidRPr="0027623E">
        <w:rPr>
          <w:rFonts w:asciiTheme="majorBidi" w:hAnsiTheme="majorBidi" w:cstheme="majorBidi"/>
          <w:sz w:val="24"/>
          <w:szCs w:val="24"/>
        </w:rPr>
        <w:t>Consip</w:t>
      </w:r>
      <w:proofErr w:type="spellEnd"/>
      <w:r w:rsidRPr="0027623E">
        <w:rPr>
          <w:rFonts w:asciiTheme="majorBidi" w:hAnsiTheme="majorBidi" w:cstheme="majorBidi"/>
          <w:sz w:val="24"/>
          <w:szCs w:val="24"/>
        </w:rPr>
        <w:t>).</w:t>
      </w:r>
    </w:p>
    <w:p w:rsidR="001836D0" w:rsidRPr="0027623E" w:rsidRDefault="001836D0" w:rsidP="0027623E">
      <w:pPr>
        <w:pStyle w:val="Paragrafoelenco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 tra l’Amministrazione e l’ 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27623E">
      <w:pPr>
        <w:pStyle w:val="Paragrafoelenco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27623E">
      <w:pPr>
        <w:pStyle w:val="Paragrafoelenco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</w:t>
      </w:r>
      <w:proofErr w:type="spellStart"/>
      <w:r w:rsidRPr="00170A13">
        <w:rPr>
          <w:rFonts w:asciiTheme="majorBidi" w:hAnsiTheme="majorBidi" w:cstheme="majorBidi"/>
          <w:sz w:val="24"/>
          <w:szCs w:val="24"/>
        </w:rPr>
        <w:t>avvalimento</w:t>
      </w:r>
      <w:proofErr w:type="spellEnd"/>
      <w:r w:rsidRPr="00170A13">
        <w:rPr>
          <w:rFonts w:asciiTheme="majorBidi" w:hAnsiTheme="majorBidi" w:cstheme="majorBidi"/>
          <w:sz w:val="24"/>
          <w:szCs w:val="24"/>
        </w:rPr>
        <w:t>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27623E">
      <w:pPr>
        <w:pStyle w:val="Paragrafoelenco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27623E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prescrizioni, costituisce per l’ 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 xml:space="preserve">.83, comma 9, del </w:t>
      </w:r>
      <w:proofErr w:type="spellStart"/>
      <w:r w:rsidRPr="0027623E">
        <w:rPr>
          <w:rFonts w:asciiTheme="majorBidi" w:hAnsiTheme="majorBidi" w:cstheme="majorBidi"/>
          <w:sz w:val="24"/>
          <w:szCs w:val="24"/>
        </w:rPr>
        <w:t>d.lgs</w:t>
      </w:r>
      <w:proofErr w:type="spellEnd"/>
      <w:r w:rsidRPr="0027623E">
        <w:rPr>
          <w:rFonts w:asciiTheme="majorBidi" w:hAnsiTheme="majorBidi" w:cstheme="majorBidi"/>
          <w:sz w:val="24"/>
          <w:szCs w:val="24"/>
        </w:rPr>
        <w:t>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27623E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27623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27623E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27623E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EF3BD2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EF3BD2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EF3BD2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EF3BD2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lastRenderedPageBreak/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EF3BD2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dichiara :</w:t>
      </w:r>
    </w:p>
    <w:p w:rsidR="00C07DED" w:rsidRPr="00C07DED" w:rsidRDefault="001836D0" w:rsidP="00EF3BD2">
      <w:pPr>
        <w:pStyle w:val="Paragrafoelenco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EF3BD2">
      <w:pPr>
        <w:pStyle w:val="Paragrafoelenco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EF3BD2">
      <w:pPr>
        <w:pStyle w:val="Paragrafoelenco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 xml:space="preserve">di non aver conferito incarichi ai soggetti di cui all’art. 53, c. 16-ter, del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marzo 2001 cosi come integrate dall’art.21 del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EF3BD2">
      <w:pPr>
        <w:pStyle w:val="Paragrafoelenco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all’art.53, comma 16-ter, del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EF3BD2">
      <w:pPr>
        <w:pStyle w:val="Paragrafoelenco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EF3BD2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EF3BD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75D55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75D55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75D55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</w:t>
      </w:r>
      <w:proofErr w:type="spellStart"/>
      <w:r w:rsidR="00EF3BD2" w:rsidRPr="00775D55">
        <w:rPr>
          <w:rFonts w:asciiTheme="majorBidi" w:hAnsiTheme="majorBidi" w:cstheme="majorBidi"/>
          <w:sz w:val="24"/>
          <w:szCs w:val="24"/>
        </w:rPr>
        <w:t>Intemo</w:t>
      </w:r>
      <w:proofErr w:type="spellEnd"/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75D55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lastRenderedPageBreak/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75D55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EF5B9E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EF5B9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95602C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95602C">
      <w:pPr>
        <w:pStyle w:val="Paragrafoelenco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95602C">
      <w:pPr>
        <w:pStyle w:val="Paragrafoelenco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95602C">
      <w:pPr>
        <w:pStyle w:val="Paragrafoelenco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95602C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95602C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95602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95602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95602C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95602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95602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1836D0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Data,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9560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9560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9560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p w:rsidR="00170A13" w:rsidRDefault="00170A13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7715" w:rsidRPr="00170A13" w:rsidRDefault="005A7715" w:rsidP="00170A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5A7715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5C" w:rsidRDefault="004E1F5C" w:rsidP="00775D36">
      <w:pPr>
        <w:spacing w:after="0" w:line="240" w:lineRule="auto"/>
      </w:pPr>
      <w:r>
        <w:separator/>
      </w:r>
    </w:p>
  </w:endnote>
  <w:endnote w:type="continuationSeparator" w:id="0">
    <w:p w:rsidR="004E1F5C" w:rsidRDefault="004E1F5C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</w:t>
      </w:r>
      <w:proofErr w:type="spellStart"/>
      <w:r w:rsidRPr="00775D36">
        <w:rPr>
          <w:rFonts w:cstheme="majorBidi"/>
          <w:sz w:val="16"/>
          <w:szCs w:val="16"/>
        </w:rPr>
        <w:t>avvalimento</w:t>
      </w:r>
      <w:proofErr w:type="spellEnd"/>
      <w:r w:rsidRPr="00775D36">
        <w:rPr>
          <w:rFonts w:cstheme="majorBidi"/>
          <w:sz w:val="16"/>
          <w:szCs w:val="16"/>
        </w:rPr>
        <w:t>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5C" w:rsidRDefault="004E1F5C" w:rsidP="00775D36">
      <w:pPr>
        <w:spacing w:after="0" w:line="240" w:lineRule="auto"/>
      </w:pPr>
      <w:r>
        <w:separator/>
      </w:r>
    </w:p>
  </w:footnote>
  <w:footnote w:type="continuationSeparator" w:id="0">
    <w:p w:rsidR="004E1F5C" w:rsidRDefault="004E1F5C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D0"/>
    <w:rsid w:val="000A374C"/>
    <w:rsid w:val="000C2EE4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A7715"/>
    <w:rsid w:val="0063167F"/>
    <w:rsid w:val="00695F3F"/>
    <w:rsid w:val="006D3DAF"/>
    <w:rsid w:val="00775D36"/>
    <w:rsid w:val="00775D55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C08F8"/>
    <w:rsid w:val="00EF3BD2"/>
    <w:rsid w:val="00EF5B9E"/>
    <w:rsid w:val="00F6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FF0D-72AE-405B-9F20-0612965B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mara.gambini</cp:lastModifiedBy>
  <cp:revision>11</cp:revision>
  <dcterms:created xsi:type="dcterms:W3CDTF">2017-02-22T08:59:00Z</dcterms:created>
  <dcterms:modified xsi:type="dcterms:W3CDTF">2017-02-24T11:32:00Z</dcterms:modified>
</cp:coreProperties>
</file>